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201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9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年市级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决算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公开目录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580" w:lineRule="exac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楷体_GB2312" w:cs="Times New Roman"/>
          <w:sz w:val="32"/>
          <w:szCs w:val="32"/>
        </w:rPr>
        <w:t>一般公共预算收入决算表；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2.一般公共预算支出决算表；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3.一般公共预算支出决算分项表；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4.一般公共预算基本支出决算表；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5.一般公共预算税收返还和转移支付决算表（分县市）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6.一般公共预算转移支付决算表（本级分项目）；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7.市级一般债务限额和余额情况表；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8.市级“三公”经费支出决算表；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9.市级“三公”经费支出情况；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10.政府性基金预算收入决算表；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11.政府性基金预算支出决算表；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12.政府性基金预算支出决算分项表；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13.政府性基金预算转移支付决算表（分地区）；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14.政府性基金预算转移支付决算表（分项目）；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15.市级专项债务限额和余额情况表；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16.国有资本经营预算收入决算表；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17.国有资本经营预算支出决算；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18.国有资本经营预算支出决算分项表；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19.社会保险基金预算收入决算；</w:t>
      </w:r>
    </w:p>
    <w:p>
      <w:pPr>
        <w:spacing w:line="580" w:lineRule="exact"/>
        <w:ind w:firstLine="630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20.社会保险基金预算支出决算表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21.社会保险基金预算支出决算分项表；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22.社会保险基金预算结余情况表；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23.市级政府举借债务情况；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24.宜春市201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年预算绩效管理工作说明；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25.宜春市关于省对市和市对县201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年转移支付有关情况的说明。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co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476C"/>
    <w:rsid w:val="00557BD7"/>
    <w:rsid w:val="0062476C"/>
    <w:rsid w:val="02F32E45"/>
    <w:rsid w:val="6A350B26"/>
    <w:rsid w:val="70060F1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57</Words>
  <Characters>330</Characters>
  <Lines>2</Lines>
  <Paragraphs>1</Paragraphs>
  <ScaleCrop>false</ScaleCrop>
  <LinksUpToDate>false</LinksUpToDate>
  <CharactersWithSpaces>386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2019-05-07T00:42:00Z</dcterms:created>
  <dc:creator>Administrator</dc:creator>
  <cp:lastModifiedBy>Administrator</cp:lastModifiedBy>
  <dcterms:modified xsi:type="dcterms:W3CDTF">2020-08-15T11:46:51Z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