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4BE3" w:rsidRDefault="000B68DA" w:rsidP="00454BE3">
      <w:pPr>
        <w:adjustRightInd/>
        <w:snapToGrid/>
        <w:spacing w:after="0"/>
        <w:jc w:val="center"/>
        <w:rPr>
          <w:rFonts w:ascii="方正小标宋简体" w:eastAsia="方正小标宋简体" w:hAnsi="宋体" w:cs="宋体" w:hint="eastAsia"/>
          <w:bCs/>
          <w:sz w:val="44"/>
          <w:szCs w:val="44"/>
        </w:rPr>
      </w:pPr>
      <w:r w:rsidRPr="00454BE3">
        <w:rPr>
          <w:rFonts w:ascii="方正小标宋简体" w:eastAsia="方正小标宋简体" w:hAnsi="宋体" w:cs="宋体" w:hint="eastAsia"/>
          <w:bCs/>
          <w:sz w:val="44"/>
          <w:szCs w:val="44"/>
        </w:rPr>
        <w:t>2020年宜春市人民政府办公室政府信息</w:t>
      </w:r>
    </w:p>
    <w:p w:rsidR="000B68DA" w:rsidRPr="00454BE3" w:rsidRDefault="000B68DA" w:rsidP="00454BE3">
      <w:pPr>
        <w:adjustRightInd/>
        <w:snapToGrid/>
        <w:spacing w:after="0"/>
        <w:jc w:val="center"/>
        <w:rPr>
          <w:rFonts w:ascii="方正小标宋简体" w:eastAsia="方正小标宋简体" w:hAnsi="微软雅黑" w:cs="宋体" w:hint="eastAsia"/>
          <w:sz w:val="44"/>
          <w:szCs w:val="44"/>
        </w:rPr>
      </w:pPr>
      <w:r w:rsidRPr="00454BE3">
        <w:rPr>
          <w:rFonts w:ascii="方正小标宋简体" w:eastAsia="方正小标宋简体" w:hAnsi="宋体" w:cs="宋体" w:hint="eastAsia"/>
          <w:bCs/>
          <w:sz w:val="44"/>
          <w:szCs w:val="44"/>
        </w:rPr>
        <w:t>公开工作年度报告</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仿宋_GB2312" w:eastAsia="仿宋_GB2312" w:hAnsi="微软雅黑" w:cs="宋体" w:hint="eastAsia"/>
          <w:color w:val="000000"/>
          <w:sz w:val="32"/>
          <w:szCs w:val="32"/>
          <w:shd w:val="clear" w:color="auto" w:fill="FFFFFF"/>
        </w:rPr>
        <w:t>本报告根据《中华人民共和国政府信息公开条例》（以下简称新《条例》）和</w:t>
      </w:r>
      <w:r w:rsidRPr="000B68DA">
        <w:rPr>
          <w:rFonts w:ascii="仿宋_GB2312" w:eastAsia="仿宋_GB2312" w:hAnsi="微软雅黑" w:cs="宋体" w:hint="eastAsia"/>
          <w:color w:val="000000"/>
          <w:sz w:val="32"/>
          <w:szCs w:val="32"/>
        </w:rPr>
        <w:t>《国务院办公厅政府信息与政务公开办公室关于政府信息公开工作年度报告有关事项的通知》（国办公开办函〔2019〕60号）</w:t>
      </w:r>
      <w:r w:rsidRPr="000B68DA">
        <w:rPr>
          <w:rFonts w:ascii="仿宋_GB2312" w:eastAsia="仿宋_GB2312" w:hAnsi="微软雅黑" w:cs="宋体" w:hint="eastAsia"/>
          <w:color w:val="000000"/>
          <w:sz w:val="32"/>
          <w:szCs w:val="32"/>
          <w:shd w:val="clear" w:color="auto" w:fill="FFFFFF"/>
        </w:rPr>
        <w:t>规定，由宜春市人民政府办公室结合有关统计数据编制。本报告由总体情况、主动公开政府信息情况、收到和处理政府信息公开申请情况、政府信息公开行政复议和行政诉讼情况、存在的主要问题及改进情况、其他需要报告的事项等六个部分组成。本报告中所列数据统计时间为2020年1月1日至2020年12月31日。如对本报告有任何疑问，请与</w:t>
      </w:r>
      <w:r w:rsidRPr="000B68DA">
        <w:rPr>
          <w:rFonts w:ascii="仿宋_GB2312" w:eastAsia="仿宋_GB2312" w:hAnsi="微软雅黑" w:cs="宋体" w:hint="eastAsia"/>
          <w:color w:val="000000"/>
          <w:sz w:val="32"/>
          <w:szCs w:val="32"/>
        </w:rPr>
        <w:t>宜春</w:t>
      </w:r>
      <w:r w:rsidRPr="000B68DA">
        <w:rPr>
          <w:rFonts w:ascii="仿宋_GB2312" w:eastAsia="仿宋_GB2312" w:hAnsi="微软雅黑" w:cs="宋体" w:hint="eastAsia"/>
          <w:color w:val="000000"/>
          <w:sz w:val="32"/>
          <w:szCs w:val="32"/>
          <w:shd w:val="clear" w:color="auto" w:fill="FFFFFF"/>
        </w:rPr>
        <w:t>市人民政府办公室政务公开科联系（地址：宜春市市政大楼327室，电话：0795-3273397，邮编：334000）。</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黑体" w:eastAsia="黑体" w:hAnsi="黑体" w:cs="宋体" w:hint="eastAsia"/>
          <w:color w:val="333333"/>
          <w:sz w:val="32"/>
          <w:szCs w:val="32"/>
        </w:rPr>
        <w:t>一、总体情况</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仿宋_GB2312" w:eastAsia="仿宋_GB2312" w:hAnsi="微软雅黑" w:cs="宋体" w:hint="eastAsia"/>
          <w:color w:val="000000"/>
          <w:sz w:val="32"/>
          <w:szCs w:val="32"/>
          <w:shd w:val="clear" w:color="auto" w:fill="FFFFFF"/>
        </w:rPr>
        <w:t>2020年，在市委、市政府的坚强领导下，宜春市人民政府办公室坚持以习近平新时代中国特色社会主义思想为指导，深入贯彻落实习近平总书记视察江西重要讲话和重要指示批示精神，紧紧围绕省委、省政府和市委、市政府中心工作，</w:t>
      </w:r>
      <w:r w:rsidRPr="000B68DA">
        <w:rPr>
          <w:rFonts w:ascii="仿宋_GB2312" w:eastAsia="仿宋_GB2312" w:hAnsi="微软雅黑" w:cs="宋体" w:hint="eastAsia"/>
          <w:sz w:val="32"/>
          <w:szCs w:val="32"/>
        </w:rPr>
        <w:t>持续加大公开范围，深化公开内容，创新公开</w:t>
      </w:r>
      <w:r w:rsidRPr="000B68DA">
        <w:rPr>
          <w:rFonts w:ascii="仿宋_GB2312" w:eastAsia="仿宋_GB2312" w:hAnsi="微软雅黑" w:cs="宋体" w:hint="eastAsia"/>
          <w:sz w:val="32"/>
          <w:szCs w:val="32"/>
        </w:rPr>
        <w:lastRenderedPageBreak/>
        <w:t>形式，有力促进了政务公开各项工作的开展，取得了良好成效</w:t>
      </w:r>
      <w:r w:rsidRPr="000B68DA">
        <w:rPr>
          <w:rFonts w:ascii="仿宋_GB2312" w:eastAsia="仿宋_GB2312" w:hAnsi="微软雅黑" w:cs="宋体" w:hint="eastAsia"/>
          <w:color w:val="000000"/>
          <w:sz w:val="32"/>
          <w:szCs w:val="32"/>
          <w:shd w:val="clear" w:color="auto" w:fill="FFFFFF"/>
        </w:rPr>
        <w:t>。</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楷体_GB2312" w:eastAsia="楷体_GB2312" w:hAnsi="微软雅黑" w:cs="宋体" w:hint="eastAsia"/>
          <w:b/>
          <w:bCs/>
          <w:color w:val="000000"/>
          <w:sz w:val="32"/>
        </w:rPr>
        <w:t>（一）持续抓好主动公开，力促公开内容规范化。</w:t>
      </w:r>
      <w:r w:rsidRPr="000B68DA">
        <w:rPr>
          <w:rFonts w:ascii="仿宋_GB2312" w:eastAsia="仿宋_GB2312" w:hAnsi="Times New Roman" w:cs="Times New Roman" w:hint="eastAsia"/>
          <w:color w:val="000000"/>
          <w:sz w:val="32"/>
          <w:szCs w:val="32"/>
          <w:shd w:val="clear" w:color="auto" w:fill="FFFFFF"/>
        </w:rPr>
        <w:t>以宜春市政府门户网站和</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宜春市政府网</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微信公众号为载体，根据政府各部门三定方案，厘清权责清单，细化为概况信息、工作动态、法规文件、行政许可、政策解读、重大项目建设、决策预公开、建议提案办理、决策部署落实等子栏目。在市政府信息公开平台及时更新机构职能、规章文件、政务动态、政府工作报告、政府常务会议、财政预决算、政府信息公开年度报告等相关信息；及时通过</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建议提案</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专栏公开建议提案回复；组织编写市政府各部门职能目录并公开。</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楷体_GB2312" w:eastAsia="楷体_GB2312" w:hAnsi="微软雅黑" w:cs="宋体" w:hint="eastAsia"/>
          <w:b/>
          <w:bCs/>
          <w:color w:val="000000"/>
          <w:sz w:val="32"/>
        </w:rPr>
        <w:t>（二）持续抓好依申请公开，力求公开形式标准化。</w:t>
      </w:r>
      <w:r w:rsidRPr="000B68DA">
        <w:rPr>
          <w:rFonts w:ascii="仿宋_GB2312" w:eastAsia="仿宋_GB2312" w:hAnsi="微软雅黑" w:cs="宋体" w:hint="eastAsia"/>
          <w:color w:val="000000"/>
          <w:sz w:val="32"/>
          <w:szCs w:val="32"/>
          <w:shd w:val="clear" w:color="auto" w:fill="FFFFFF"/>
        </w:rPr>
        <w:t>严格执行新修订《政府信息公开条例》，对群众提交的政府信息公开申请通过建立台账、编号和办结销号管理，回复意见全部经由市司法局合法性审核，做到了规范、严谨、及时回复</w:t>
      </w:r>
      <w:r w:rsidRPr="000B68DA">
        <w:rPr>
          <w:rFonts w:ascii="仿宋_GB2312" w:eastAsia="仿宋_GB2312" w:hAnsi="Times New Roman" w:cs="Times New Roman" w:hint="eastAsia"/>
          <w:color w:val="000000"/>
          <w:sz w:val="32"/>
          <w:szCs w:val="32"/>
          <w:shd w:val="clear" w:color="auto" w:fill="FFFFFF"/>
        </w:rPr>
        <w:t>。在确保依申请公开信件答复的及时性和准确性的同时，进一步优化流程和服务，申请者只需在网站提交申请信息，用于申请的电话号码将自动被收录到</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温馨提醒</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小程序上，用户将及时得知申请信息办理进度，政府信息回复函寄出后，用户还将接到市政府政务公开办的提醒电话。</w:t>
      </w:r>
      <w:r w:rsidRPr="000B68DA">
        <w:rPr>
          <w:rFonts w:ascii="Times New Roman" w:hAnsi="Times New Roman" w:cs="Times New Roman"/>
          <w:color w:val="000000"/>
          <w:sz w:val="32"/>
          <w:szCs w:val="32"/>
          <w:shd w:val="clear" w:color="auto" w:fill="FFFFFF"/>
        </w:rPr>
        <w:t>2020</w:t>
      </w:r>
      <w:r w:rsidRPr="000B68DA">
        <w:rPr>
          <w:rFonts w:ascii="仿宋_GB2312" w:eastAsia="仿宋_GB2312" w:hAnsi="Times New Roman" w:cs="Times New Roman" w:hint="eastAsia"/>
          <w:color w:val="000000"/>
          <w:sz w:val="32"/>
          <w:szCs w:val="32"/>
          <w:shd w:val="clear" w:color="auto" w:fill="FFFFFF"/>
        </w:rPr>
        <w:t>年，共受理向市政府办公室提出的政府信息公开</w:t>
      </w:r>
      <w:r w:rsidRPr="000B68DA">
        <w:rPr>
          <w:rFonts w:ascii="仿宋_GB2312" w:eastAsia="仿宋_GB2312" w:hAnsi="Times New Roman" w:cs="Times New Roman" w:hint="eastAsia"/>
          <w:color w:val="000000"/>
          <w:sz w:val="32"/>
          <w:szCs w:val="32"/>
          <w:shd w:val="clear" w:color="auto" w:fill="FFFFFF"/>
        </w:rPr>
        <w:lastRenderedPageBreak/>
        <w:t>申请</w:t>
      </w:r>
      <w:r>
        <w:rPr>
          <w:rFonts w:ascii="Times New Roman" w:hAnsi="Times New Roman" w:cs="Times New Roman" w:hint="eastAsia"/>
          <w:color w:val="000000"/>
          <w:sz w:val="32"/>
          <w:szCs w:val="32"/>
          <w:shd w:val="clear" w:color="auto" w:fill="FFFFFF"/>
        </w:rPr>
        <w:t>45</w:t>
      </w:r>
      <w:r w:rsidRPr="000B68DA">
        <w:rPr>
          <w:rFonts w:ascii="仿宋_GB2312" w:eastAsia="仿宋_GB2312" w:hAnsi="Times New Roman" w:cs="Times New Roman" w:hint="eastAsia"/>
          <w:color w:val="000000"/>
          <w:sz w:val="32"/>
          <w:szCs w:val="32"/>
          <w:shd w:val="clear" w:color="auto" w:fill="FFFFFF"/>
        </w:rPr>
        <w:t>件，按时办结率</w:t>
      </w:r>
      <w:r w:rsidRPr="000B68DA">
        <w:rPr>
          <w:rFonts w:ascii="Times New Roman" w:hAnsi="Times New Roman" w:cs="Times New Roman"/>
          <w:color w:val="000000"/>
          <w:sz w:val="32"/>
          <w:szCs w:val="32"/>
          <w:shd w:val="clear" w:color="auto" w:fill="FFFFFF"/>
        </w:rPr>
        <w:t>100%</w:t>
      </w:r>
      <w:r w:rsidRPr="000B68DA">
        <w:rPr>
          <w:rFonts w:ascii="仿宋_GB2312" w:eastAsia="仿宋_GB2312" w:hAnsi="Times New Roman" w:cs="Times New Roman" w:hint="eastAsia"/>
          <w:color w:val="000000"/>
          <w:sz w:val="32"/>
          <w:szCs w:val="32"/>
          <w:shd w:val="clear" w:color="auto" w:fill="FFFFFF"/>
        </w:rPr>
        <w:t>，没有发生行政复议和行政诉讼。</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楷体_GB2312" w:eastAsia="楷体_GB2312" w:hAnsi="微软雅黑" w:cs="宋体" w:hint="eastAsia"/>
          <w:b/>
          <w:bCs/>
          <w:color w:val="000000"/>
          <w:sz w:val="32"/>
        </w:rPr>
        <w:t>（三）持续抓好平台优化，实现公开渠道多元化。</w:t>
      </w:r>
      <w:r w:rsidRPr="000B68DA">
        <w:rPr>
          <w:rFonts w:ascii="仿宋_GB2312" w:eastAsia="仿宋_GB2312" w:hAnsi="微软雅黑" w:cs="宋体" w:hint="eastAsia"/>
          <w:color w:val="000000"/>
          <w:sz w:val="32"/>
          <w:szCs w:val="32"/>
          <w:shd w:val="clear" w:color="auto" w:fill="FFFFFF"/>
        </w:rPr>
        <w:t>线上线下一体化联动，积极探索多渠道公开。一</w:t>
      </w:r>
      <w:r w:rsidRPr="000B68DA">
        <w:rPr>
          <w:rFonts w:ascii="仿宋_GB2312" w:eastAsia="仿宋_GB2312" w:hAnsi="微软雅黑" w:cs="宋体" w:hint="eastAsia"/>
          <w:b/>
          <w:bCs/>
          <w:color w:val="000000"/>
          <w:sz w:val="32"/>
        </w:rPr>
        <w:t>是以线上为基础，促进政民互动互商。</w:t>
      </w:r>
      <w:r w:rsidRPr="000B68DA">
        <w:rPr>
          <w:rFonts w:ascii="仿宋_GB2312" w:eastAsia="仿宋_GB2312" w:hAnsi="Times New Roman" w:cs="Times New Roman" w:hint="eastAsia"/>
          <w:sz w:val="32"/>
          <w:szCs w:val="32"/>
        </w:rPr>
        <w:t>以</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你建言、我来办</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有奖征集活动为抓手，建立链条式、闭环式处理流程，持续提升政府治理效能</w:t>
      </w:r>
      <w:r w:rsidRPr="000B68DA">
        <w:rPr>
          <w:rFonts w:ascii="仿宋_GB2312" w:eastAsia="仿宋_GB2312" w:hAnsi="微软雅黑" w:cs="宋体" w:hint="eastAsia"/>
          <w:sz w:val="32"/>
          <w:szCs w:val="32"/>
        </w:rPr>
        <w:t>。同时，</w:t>
      </w:r>
      <w:r w:rsidRPr="000B68DA">
        <w:rPr>
          <w:rFonts w:ascii="仿宋_GB2312" w:eastAsia="仿宋_GB2312" w:hAnsi="Times New Roman" w:cs="Times New Roman" w:hint="eastAsia"/>
          <w:sz w:val="32"/>
          <w:szCs w:val="32"/>
        </w:rPr>
        <w:t>每季度对各县（市、区）和责任单位落实情况和民众有效建言进行</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最佳服务之星</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和</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最佳民众建言奖</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评选。</w:t>
      </w:r>
      <w:r w:rsidRPr="000B68DA">
        <w:rPr>
          <w:rFonts w:ascii="Times New Roman" w:hAnsi="Times New Roman" w:cs="Times New Roman"/>
          <w:sz w:val="32"/>
          <w:szCs w:val="32"/>
        </w:rPr>
        <w:t>2020</w:t>
      </w:r>
      <w:r w:rsidRPr="000B68DA">
        <w:rPr>
          <w:rFonts w:ascii="仿宋_GB2312" w:eastAsia="仿宋_GB2312" w:hAnsi="Times New Roman" w:cs="Times New Roman" w:hint="eastAsia"/>
          <w:sz w:val="32"/>
          <w:szCs w:val="32"/>
        </w:rPr>
        <w:t>年，</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你建言，我来办</w:t>
      </w:r>
      <w:r w:rsidRPr="000B68DA">
        <w:rPr>
          <w:rFonts w:ascii="Times New Roman" w:hAnsi="Times New Roman" w:cs="Times New Roman"/>
          <w:sz w:val="32"/>
          <w:szCs w:val="32"/>
        </w:rPr>
        <w:t>”</w:t>
      </w:r>
      <w:r w:rsidRPr="000B68DA">
        <w:rPr>
          <w:rFonts w:ascii="仿宋_GB2312" w:eastAsia="仿宋_GB2312" w:hAnsi="Times New Roman" w:cs="Times New Roman" w:hint="eastAsia"/>
          <w:sz w:val="32"/>
          <w:szCs w:val="32"/>
        </w:rPr>
        <w:t>活动共发布</w:t>
      </w:r>
      <w:r w:rsidRPr="000B68DA">
        <w:rPr>
          <w:rFonts w:ascii="Times New Roman" w:hAnsi="Times New Roman" w:cs="Times New Roman"/>
          <w:sz w:val="32"/>
          <w:szCs w:val="32"/>
        </w:rPr>
        <w:t>56</w:t>
      </w:r>
      <w:r w:rsidRPr="000B68DA">
        <w:rPr>
          <w:rFonts w:ascii="仿宋_GB2312" w:eastAsia="仿宋_GB2312" w:hAnsi="Times New Roman" w:cs="Times New Roman" w:hint="eastAsia"/>
          <w:sz w:val="32"/>
          <w:szCs w:val="32"/>
        </w:rPr>
        <w:t>期，已办理、回复相关诉求</w:t>
      </w:r>
      <w:r w:rsidRPr="000B68DA">
        <w:rPr>
          <w:rFonts w:ascii="Times New Roman" w:hAnsi="Times New Roman" w:cs="Times New Roman"/>
          <w:sz w:val="32"/>
          <w:szCs w:val="32"/>
        </w:rPr>
        <w:t>900</w:t>
      </w:r>
      <w:r w:rsidRPr="000B68DA">
        <w:rPr>
          <w:rFonts w:ascii="仿宋_GB2312" w:eastAsia="仿宋_GB2312" w:hAnsi="Times New Roman" w:cs="Times New Roman" w:hint="eastAsia"/>
          <w:sz w:val="32"/>
          <w:szCs w:val="32"/>
        </w:rPr>
        <w:t>余件、采纳建议</w:t>
      </w:r>
      <w:r w:rsidRPr="000B68DA">
        <w:rPr>
          <w:rFonts w:ascii="Times New Roman" w:hAnsi="Times New Roman" w:cs="Times New Roman"/>
          <w:sz w:val="32"/>
          <w:szCs w:val="32"/>
        </w:rPr>
        <w:t>400</w:t>
      </w:r>
      <w:r w:rsidRPr="000B68DA">
        <w:rPr>
          <w:rFonts w:ascii="仿宋_GB2312" w:eastAsia="仿宋_GB2312" w:hAnsi="Times New Roman" w:cs="Times New Roman" w:hint="eastAsia"/>
          <w:sz w:val="32"/>
          <w:szCs w:val="32"/>
        </w:rPr>
        <w:t>余条。</w:t>
      </w:r>
      <w:r w:rsidRPr="000B68DA">
        <w:rPr>
          <w:rFonts w:ascii="仿宋_GB2312" w:eastAsia="仿宋_GB2312" w:hAnsi="微软雅黑" w:cs="宋体" w:hint="eastAsia"/>
          <w:color w:val="000000"/>
          <w:sz w:val="32"/>
          <w:szCs w:val="32"/>
          <w:shd w:val="clear" w:color="auto" w:fill="FFFFFF"/>
        </w:rPr>
        <w:t>加强与第三方监测公司合作，进一步强化政府网站和政务新媒体日常监测和运维监测。</w:t>
      </w:r>
      <w:r w:rsidRPr="000B68DA">
        <w:rPr>
          <w:rFonts w:ascii="仿宋_GB2312" w:eastAsia="仿宋_GB2312" w:hAnsi="微软雅黑" w:cs="宋体" w:hint="eastAsia"/>
          <w:b/>
          <w:bCs/>
          <w:color w:val="000000"/>
          <w:sz w:val="32"/>
        </w:rPr>
        <w:t>二是以线下为协同，促进政民互信互评。</w:t>
      </w:r>
      <w:r w:rsidRPr="000B68DA">
        <w:rPr>
          <w:rFonts w:ascii="仿宋_GB2312" w:eastAsia="仿宋_GB2312" w:hAnsi="Times New Roman" w:cs="Times New Roman" w:hint="eastAsia"/>
          <w:color w:val="000000"/>
          <w:sz w:val="32"/>
          <w:szCs w:val="32"/>
          <w:shd w:val="clear" w:color="auto" w:fill="FFFFFF"/>
        </w:rPr>
        <w:t>打造多样化信息公开渠道，如</w:t>
      </w:r>
      <w:r w:rsidRPr="000B68DA">
        <w:rPr>
          <w:rFonts w:ascii="Times New Roman" w:hAnsi="Times New Roman" w:cs="Times New Roman"/>
          <w:color w:val="000000"/>
          <w:sz w:val="32"/>
          <w:szCs w:val="32"/>
          <w:shd w:val="clear" w:color="auto" w:fill="FFFFFF"/>
        </w:rPr>
        <w:t>2020</w:t>
      </w:r>
      <w:r w:rsidRPr="000B68DA">
        <w:rPr>
          <w:rFonts w:ascii="仿宋_GB2312" w:eastAsia="仿宋_GB2312" w:hAnsi="Times New Roman" w:cs="Times New Roman" w:hint="eastAsia"/>
          <w:color w:val="000000"/>
          <w:sz w:val="32"/>
          <w:szCs w:val="32"/>
          <w:shd w:val="clear" w:color="auto" w:fill="FFFFFF"/>
        </w:rPr>
        <w:t>年</w:t>
      </w:r>
      <w:r w:rsidRPr="000B68DA">
        <w:rPr>
          <w:rFonts w:ascii="Times New Roman" w:hAnsi="Times New Roman" w:cs="Times New Roman"/>
          <w:color w:val="000000"/>
          <w:sz w:val="32"/>
          <w:szCs w:val="32"/>
          <w:shd w:val="clear" w:color="auto" w:fill="FFFFFF"/>
        </w:rPr>
        <w:t>8</w:t>
      </w:r>
      <w:r w:rsidRPr="000B68DA">
        <w:rPr>
          <w:rFonts w:ascii="仿宋_GB2312" w:eastAsia="仿宋_GB2312" w:hAnsi="Times New Roman" w:cs="Times New Roman" w:hint="eastAsia"/>
          <w:color w:val="000000"/>
          <w:sz w:val="32"/>
          <w:szCs w:val="32"/>
          <w:shd w:val="clear" w:color="auto" w:fill="FFFFFF"/>
        </w:rPr>
        <w:t>月份在市行政服务中心大厅以及市民服务中心建立了</w:t>
      </w:r>
      <w:r w:rsidRPr="000B68DA">
        <w:rPr>
          <w:rFonts w:ascii="Times New Roman" w:hAnsi="Times New Roman" w:cs="Times New Roman"/>
          <w:color w:val="000000"/>
          <w:sz w:val="32"/>
          <w:szCs w:val="32"/>
          <w:shd w:val="clear" w:color="auto" w:fill="FFFFFF"/>
        </w:rPr>
        <w:t>4</w:t>
      </w:r>
      <w:r w:rsidRPr="000B68DA">
        <w:rPr>
          <w:rFonts w:ascii="仿宋_GB2312" w:eastAsia="仿宋_GB2312" w:hAnsi="Times New Roman" w:cs="Times New Roman" w:hint="eastAsia"/>
          <w:color w:val="000000"/>
          <w:sz w:val="32"/>
          <w:szCs w:val="32"/>
          <w:shd w:val="clear" w:color="auto" w:fill="FFFFFF"/>
        </w:rPr>
        <w:t>个政务公开专区。同时，统筹推进县、乡两级政务公开专区建设，目前县、乡政务公开专区已做到全覆盖。政务公开专区集中提供政府信息查询、信息公开申请、办事咨询答复、建言回复、政府公报阅览等服务，实现了政府信息的</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一站式</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查询。在常规工作的基础上，我市创建了</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金秤砣</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政务公开评议员制度，其中</w:t>
      </w:r>
      <w:r w:rsidRPr="000B68DA">
        <w:rPr>
          <w:rFonts w:ascii="Times New Roman" w:hAnsi="Times New Roman" w:cs="Times New Roman"/>
          <w:color w:val="000000"/>
          <w:sz w:val="32"/>
          <w:szCs w:val="32"/>
          <w:shd w:val="clear" w:color="auto" w:fill="FFFFFF"/>
        </w:rPr>
        <w:t>2020</w:t>
      </w:r>
      <w:r w:rsidRPr="000B68DA">
        <w:rPr>
          <w:rFonts w:ascii="仿宋_GB2312" w:eastAsia="仿宋_GB2312" w:hAnsi="Times New Roman" w:cs="Times New Roman" w:hint="eastAsia"/>
          <w:color w:val="000000"/>
          <w:sz w:val="32"/>
          <w:szCs w:val="32"/>
          <w:shd w:val="clear" w:color="auto" w:fill="FFFFFF"/>
        </w:rPr>
        <w:t>年共处理</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金秤砣</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评议员意见</w:t>
      </w:r>
      <w:r w:rsidRPr="000B68DA">
        <w:rPr>
          <w:rFonts w:ascii="Times New Roman" w:hAnsi="Times New Roman" w:cs="Times New Roman"/>
          <w:color w:val="000000"/>
          <w:sz w:val="32"/>
          <w:szCs w:val="32"/>
          <w:shd w:val="clear" w:color="auto" w:fill="FFFFFF"/>
        </w:rPr>
        <w:t>200</w:t>
      </w:r>
      <w:r w:rsidRPr="000B68DA">
        <w:rPr>
          <w:rFonts w:ascii="仿宋_GB2312" w:eastAsia="仿宋_GB2312" w:hAnsi="Times New Roman" w:cs="Times New Roman" w:hint="eastAsia"/>
          <w:color w:val="000000"/>
          <w:sz w:val="32"/>
          <w:szCs w:val="32"/>
          <w:shd w:val="clear" w:color="auto" w:fill="FFFFFF"/>
        </w:rPr>
        <w:t>余条，实现以评促建、以评促用，此项制度被省委改革委评选为</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微改革</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经典案例。</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楷体_GB2312" w:eastAsia="楷体_GB2312" w:hAnsi="微软雅黑" w:cs="宋体" w:hint="eastAsia"/>
          <w:b/>
          <w:bCs/>
          <w:color w:val="000000"/>
          <w:sz w:val="32"/>
        </w:rPr>
        <w:lastRenderedPageBreak/>
        <w:t>（四）持续抓好监督保障，推动公开机制长效化。</w:t>
      </w:r>
      <w:r w:rsidRPr="000B68DA">
        <w:rPr>
          <w:rFonts w:ascii="Times New Roman" w:hAnsi="Times New Roman" w:cs="Times New Roman"/>
          <w:color w:val="000000"/>
          <w:sz w:val="32"/>
          <w:szCs w:val="32"/>
          <w:shd w:val="clear" w:color="auto" w:fill="FFFFFF"/>
        </w:rPr>
        <w:t>2020</w:t>
      </w:r>
      <w:r w:rsidRPr="000B68DA">
        <w:rPr>
          <w:rFonts w:ascii="仿宋_GB2312" w:eastAsia="仿宋_GB2312" w:hAnsi="Times New Roman" w:cs="Times New Roman" w:hint="eastAsia"/>
          <w:color w:val="000000"/>
          <w:sz w:val="32"/>
          <w:szCs w:val="32"/>
          <w:shd w:val="clear" w:color="auto" w:fill="FFFFFF"/>
        </w:rPr>
        <w:t>年，市政府办公室成立了政务专门机构</w:t>
      </w:r>
      <w:r w:rsidRPr="000B68DA">
        <w:rPr>
          <w:rFonts w:ascii="Times New Roman" w:hAnsi="Times New Roman" w:cs="Times New Roman"/>
          <w:color w:val="000000"/>
          <w:sz w:val="32"/>
          <w:szCs w:val="32"/>
          <w:shd w:val="clear" w:color="auto" w:fill="FFFFFF"/>
        </w:rPr>
        <w:t>—</w:t>
      </w:r>
      <w:r w:rsidRPr="000B68DA">
        <w:rPr>
          <w:rFonts w:ascii="仿宋_GB2312" w:eastAsia="仿宋_GB2312" w:hAnsi="Times New Roman" w:cs="Times New Roman" w:hint="eastAsia"/>
          <w:color w:val="000000"/>
          <w:sz w:val="32"/>
          <w:szCs w:val="32"/>
          <w:shd w:val="clear" w:color="auto" w:fill="FFFFFF"/>
        </w:rPr>
        <w:t>政务公开科，目前共有</w:t>
      </w:r>
      <w:r w:rsidRPr="000B68DA">
        <w:rPr>
          <w:rFonts w:ascii="仿宋_GB2312" w:eastAsia="仿宋_GB2312" w:hAnsi="微软雅黑" w:cs="宋体" w:hint="eastAsia"/>
          <w:color w:val="000000"/>
          <w:sz w:val="32"/>
          <w:szCs w:val="32"/>
          <w:shd w:val="clear" w:color="auto" w:fill="FFFFFF"/>
        </w:rPr>
        <w:t>5名专职工作人员。同时，市政府办公室每年划拨固定经费用于政务公开工作，确保有人管事、有人干事、有钱做事。按照最新的《政府信息公开条例》，市政府办公室主管全市政府信息公开工作，将政务公开（信息公开）工作纳入全市高质量发展考评和市直机关绩效管理考核，发挥好考核评价的“指挥棒”作用。建立健全了政府信息公开审查机制，依法依规对拟公开的政府信息进行审查。举办《中华人民共和国信息条例》网上知识竞赛活动，达到了良好的宣传效果。从2020年3月10日开始，市政府办公室共举办30场培训会（其中县市区10场，市政府部门20场），不断提升全市信息公开工作人员的业务水平。</w:t>
      </w:r>
    </w:p>
    <w:p w:rsidR="000B68DA" w:rsidRPr="000B68DA" w:rsidRDefault="000B68DA" w:rsidP="000B68DA">
      <w:pPr>
        <w:shd w:val="clear" w:color="auto" w:fill="FFFFFF"/>
        <w:adjustRightInd/>
        <w:snapToGrid/>
        <w:spacing w:before="100" w:beforeAutospacing="1" w:after="100" w:afterAutospacing="1" w:line="600" w:lineRule="atLeast"/>
        <w:ind w:firstLine="585"/>
        <w:jc w:val="both"/>
        <w:rPr>
          <w:rFonts w:ascii="微软雅黑" w:hAnsi="微软雅黑" w:cs="宋体"/>
          <w:sz w:val="26"/>
          <w:szCs w:val="26"/>
        </w:rPr>
      </w:pPr>
      <w:r w:rsidRPr="000B68DA">
        <w:rPr>
          <w:rFonts w:ascii="黑体" w:eastAsia="黑体" w:hAnsi="黑体" w:cs="宋体" w:hint="eastAsia"/>
          <w:color w:val="424242"/>
          <w:sz w:val="32"/>
          <w:szCs w:val="32"/>
          <w:shd w:val="clear" w:color="auto" w:fill="FFFFFF"/>
        </w:rPr>
        <w:t>二、主动公开政府信息情况</w:t>
      </w:r>
    </w:p>
    <w:tbl>
      <w:tblPr>
        <w:tblW w:w="8145" w:type="dxa"/>
        <w:tblCellMar>
          <w:top w:w="15" w:type="dxa"/>
          <w:left w:w="15" w:type="dxa"/>
          <w:bottom w:w="15" w:type="dxa"/>
          <w:right w:w="15" w:type="dxa"/>
        </w:tblCellMar>
        <w:tblLook w:val="04A0"/>
      </w:tblPr>
      <w:tblGrid>
        <w:gridCol w:w="3120"/>
        <w:gridCol w:w="1875"/>
        <w:gridCol w:w="1275"/>
        <w:gridCol w:w="1875"/>
      </w:tblGrid>
      <w:tr w:rsidR="000B68DA" w:rsidRPr="000B68DA" w:rsidTr="000B68DA">
        <w:tc>
          <w:tcPr>
            <w:tcW w:w="8145" w:type="dxa"/>
            <w:gridSpan w:val="4"/>
            <w:tcBorders>
              <w:top w:val="single" w:sz="6" w:space="0" w:color="000000"/>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第二十条第（一）项</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信息内容</w:t>
            </w:r>
          </w:p>
        </w:tc>
        <w:tc>
          <w:tcPr>
            <w:tcW w:w="18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本年新</w:t>
            </w:r>
            <w:r w:rsidRPr="000B68DA">
              <w:rPr>
                <w:rFonts w:ascii="Calibri" w:hAnsi="Calibri" w:cs="Calibri"/>
                <w:color w:val="424242"/>
                <w:sz w:val="24"/>
                <w:szCs w:val="24"/>
              </w:rPr>
              <w:br/>
            </w:r>
            <w:r w:rsidRPr="000B68DA">
              <w:rPr>
                <w:rFonts w:ascii="宋体" w:eastAsia="宋体" w:hAnsi="宋体" w:cs="宋体" w:hint="eastAsia"/>
                <w:color w:val="424242"/>
                <w:sz w:val="24"/>
                <w:szCs w:val="24"/>
              </w:rPr>
              <w:t>制作数量</w:t>
            </w:r>
          </w:p>
        </w:tc>
        <w:tc>
          <w:tcPr>
            <w:tcW w:w="12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本年新</w:t>
            </w:r>
            <w:r w:rsidRPr="000B68DA">
              <w:rPr>
                <w:rFonts w:ascii="Calibri" w:hAnsi="Calibri" w:cs="Calibri"/>
                <w:color w:val="424242"/>
                <w:sz w:val="24"/>
                <w:szCs w:val="24"/>
              </w:rPr>
              <w:br/>
            </w:r>
            <w:r w:rsidRPr="000B68DA">
              <w:rPr>
                <w:rFonts w:ascii="宋体" w:eastAsia="宋体" w:hAnsi="宋体" w:cs="宋体" w:hint="eastAsia"/>
                <w:color w:val="424242"/>
                <w:sz w:val="24"/>
                <w:szCs w:val="24"/>
              </w:rPr>
              <w:t>公开数量</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对外公开总数量</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规章</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1</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规范性文件</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64</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64</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586</w:t>
            </w:r>
          </w:p>
        </w:tc>
      </w:tr>
      <w:tr w:rsidR="000B68DA" w:rsidRPr="000B68DA" w:rsidTr="000B68DA">
        <w:tc>
          <w:tcPr>
            <w:tcW w:w="8145" w:type="dxa"/>
            <w:gridSpan w:val="4"/>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第二十条第（五）项</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lastRenderedPageBreak/>
              <w:t>信息内容</w:t>
            </w:r>
          </w:p>
        </w:tc>
        <w:tc>
          <w:tcPr>
            <w:tcW w:w="18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上一年项目数量</w:t>
            </w:r>
          </w:p>
        </w:tc>
        <w:tc>
          <w:tcPr>
            <w:tcW w:w="12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本年增</w:t>
            </w:r>
            <w:r w:rsidRPr="000B68DA">
              <w:rPr>
                <w:rFonts w:ascii="Calibri" w:hAnsi="Calibri" w:cs="Calibri"/>
                <w:color w:val="424242"/>
                <w:sz w:val="24"/>
                <w:szCs w:val="24"/>
              </w:rPr>
              <w:t>/</w:t>
            </w:r>
            <w:r w:rsidRPr="000B68DA">
              <w:rPr>
                <w:rFonts w:ascii="宋体" w:eastAsia="宋体" w:hAnsi="宋体" w:cs="宋体" w:hint="eastAsia"/>
                <w:color w:val="424242"/>
                <w:sz w:val="24"/>
                <w:szCs w:val="24"/>
              </w:rPr>
              <w:t>减</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处理决定数量</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行政许可</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其他对外管理服务事项</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8145" w:type="dxa"/>
            <w:gridSpan w:val="4"/>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第二十条第（六）项</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信息内容</w:t>
            </w:r>
          </w:p>
        </w:tc>
        <w:tc>
          <w:tcPr>
            <w:tcW w:w="18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上一年项目数量</w:t>
            </w:r>
          </w:p>
        </w:tc>
        <w:tc>
          <w:tcPr>
            <w:tcW w:w="127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本年增</w:t>
            </w:r>
            <w:r w:rsidRPr="000B68DA">
              <w:rPr>
                <w:rFonts w:ascii="Calibri" w:hAnsi="Calibri" w:cs="Calibri"/>
                <w:color w:val="424242"/>
                <w:sz w:val="24"/>
                <w:szCs w:val="24"/>
              </w:rPr>
              <w:t>/</w:t>
            </w:r>
            <w:r w:rsidRPr="000B68DA">
              <w:rPr>
                <w:rFonts w:ascii="宋体" w:eastAsia="宋体" w:hAnsi="宋体" w:cs="宋体" w:hint="eastAsia"/>
                <w:color w:val="424242"/>
                <w:sz w:val="24"/>
                <w:szCs w:val="24"/>
              </w:rPr>
              <w:t>减</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处理决定数量</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行政处罚</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行政强制</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2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8145" w:type="dxa"/>
            <w:gridSpan w:val="4"/>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第二十条第（八）项</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信息内容</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上一年项目数量</w:t>
            </w:r>
          </w:p>
        </w:tc>
        <w:tc>
          <w:tcPr>
            <w:tcW w:w="3150" w:type="dxa"/>
            <w:gridSpan w:val="2"/>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本年增</w:t>
            </w:r>
            <w:r w:rsidRPr="000B68DA">
              <w:rPr>
                <w:rFonts w:ascii="Calibri" w:hAnsi="Calibri" w:cs="Calibri"/>
                <w:color w:val="424242"/>
                <w:sz w:val="24"/>
                <w:szCs w:val="24"/>
              </w:rPr>
              <w:t>/</w:t>
            </w:r>
            <w:r w:rsidRPr="000B68DA">
              <w:rPr>
                <w:rFonts w:ascii="宋体" w:eastAsia="宋体" w:hAnsi="宋体" w:cs="宋体" w:hint="eastAsia"/>
                <w:color w:val="424242"/>
                <w:sz w:val="24"/>
                <w:szCs w:val="24"/>
              </w:rPr>
              <w:t>减</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行政事业性收费</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3150"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8145" w:type="dxa"/>
            <w:gridSpan w:val="4"/>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第二十条第（九）项</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信息内容</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采购项目数量</w:t>
            </w:r>
          </w:p>
        </w:tc>
        <w:tc>
          <w:tcPr>
            <w:tcW w:w="3150" w:type="dxa"/>
            <w:gridSpan w:val="2"/>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采购总金额</w:t>
            </w:r>
          </w:p>
        </w:tc>
      </w:tr>
      <w:tr w:rsidR="000B68DA" w:rsidRPr="000B68DA" w:rsidTr="000B68DA">
        <w:tc>
          <w:tcPr>
            <w:tcW w:w="312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政府集中采购</w:t>
            </w:r>
          </w:p>
        </w:tc>
        <w:tc>
          <w:tcPr>
            <w:tcW w:w="187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3150"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r>
    </w:tbl>
    <w:p w:rsidR="000B68DA" w:rsidRPr="000B68DA" w:rsidRDefault="000B68DA" w:rsidP="000B68DA">
      <w:pPr>
        <w:shd w:val="clear" w:color="auto" w:fill="FFFFFF"/>
        <w:adjustRightInd/>
        <w:snapToGrid/>
        <w:spacing w:before="100" w:beforeAutospacing="1" w:after="100" w:afterAutospacing="1" w:line="600" w:lineRule="atLeast"/>
        <w:jc w:val="both"/>
        <w:rPr>
          <w:rFonts w:ascii="微软雅黑" w:hAnsi="微软雅黑" w:cs="宋体"/>
          <w:sz w:val="26"/>
          <w:szCs w:val="26"/>
        </w:rPr>
      </w:pPr>
      <w:r w:rsidRPr="000B68DA">
        <w:rPr>
          <w:rFonts w:ascii="黑体" w:eastAsia="黑体" w:hAnsi="黑体" w:cs="宋体" w:hint="eastAsia"/>
          <w:color w:val="424242"/>
          <w:sz w:val="32"/>
          <w:szCs w:val="32"/>
          <w:shd w:val="clear" w:color="auto" w:fill="FFFFFF"/>
        </w:rPr>
        <w:t xml:space="preserve">　三、收到和处理政府信息公开申请情况</w:t>
      </w:r>
    </w:p>
    <w:tbl>
      <w:tblPr>
        <w:tblW w:w="8564" w:type="dxa"/>
        <w:tblCellMar>
          <w:top w:w="15" w:type="dxa"/>
          <w:left w:w="15" w:type="dxa"/>
          <w:bottom w:w="15" w:type="dxa"/>
          <w:right w:w="15" w:type="dxa"/>
        </w:tblCellMar>
        <w:tblLook w:val="04A0"/>
      </w:tblPr>
      <w:tblGrid>
        <w:gridCol w:w="782"/>
        <w:gridCol w:w="1023"/>
        <w:gridCol w:w="1863"/>
        <w:gridCol w:w="736"/>
        <w:gridCol w:w="691"/>
        <w:gridCol w:w="691"/>
        <w:gridCol w:w="796"/>
        <w:gridCol w:w="826"/>
        <w:gridCol w:w="616"/>
        <w:gridCol w:w="540"/>
      </w:tblGrid>
      <w:tr w:rsidR="000B68DA" w:rsidRPr="000B68DA" w:rsidTr="000B68DA">
        <w:tc>
          <w:tcPr>
            <w:tcW w:w="3668" w:type="dxa"/>
            <w:gridSpan w:val="3"/>
            <w:vMerge w:val="restart"/>
            <w:tcBorders>
              <w:top w:val="single" w:sz="6" w:space="0" w:color="000000"/>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（本列数据的勾稽关系为：第一</w:t>
            </w:r>
            <w:r w:rsidRPr="000B68DA">
              <w:rPr>
                <w:rFonts w:ascii="宋体" w:eastAsia="宋体" w:hAnsi="宋体" w:cs="宋体" w:hint="eastAsia"/>
                <w:color w:val="424242"/>
                <w:sz w:val="24"/>
                <w:szCs w:val="24"/>
              </w:rPr>
              <w:lastRenderedPageBreak/>
              <w:t>项加第二项之和，等于第三项加第四项之和）</w:t>
            </w:r>
          </w:p>
        </w:tc>
        <w:tc>
          <w:tcPr>
            <w:tcW w:w="4896" w:type="dxa"/>
            <w:gridSpan w:val="7"/>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lastRenderedPageBreak/>
              <w:t>申请人情况</w:t>
            </w:r>
          </w:p>
        </w:tc>
      </w:tr>
      <w:tr w:rsidR="000B68DA" w:rsidRPr="000B68DA" w:rsidTr="000B68DA">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736" w:type="dxa"/>
            <w:vMerge w:val="restart"/>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自然人</w:t>
            </w:r>
          </w:p>
        </w:tc>
        <w:tc>
          <w:tcPr>
            <w:tcW w:w="3620" w:type="dxa"/>
            <w:gridSpan w:val="5"/>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法人或其他组织</w:t>
            </w:r>
          </w:p>
        </w:tc>
        <w:tc>
          <w:tcPr>
            <w:tcW w:w="540" w:type="dxa"/>
            <w:vMerge w:val="restart"/>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总计</w:t>
            </w:r>
          </w:p>
        </w:tc>
      </w:tr>
      <w:tr w:rsidR="000B68DA" w:rsidRPr="000B68DA" w:rsidTr="000B68DA">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商业企业</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科研机构</w:t>
            </w:r>
          </w:p>
        </w:tc>
        <w:tc>
          <w:tcPr>
            <w:tcW w:w="796"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社会公益组织</w:t>
            </w:r>
          </w:p>
        </w:tc>
        <w:tc>
          <w:tcPr>
            <w:tcW w:w="826"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法律服务机构</w:t>
            </w:r>
          </w:p>
        </w:tc>
        <w:tc>
          <w:tcPr>
            <w:tcW w:w="616"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其他</w:t>
            </w:r>
          </w:p>
        </w:tc>
        <w:tc>
          <w:tcPr>
            <w:tcW w:w="540" w:type="dxa"/>
            <w:vMerge/>
            <w:tcBorders>
              <w:top w:val="single" w:sz="6" w:space="0" w:color="000000"/>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r>
      <w:tr w:rsidR="000B68DA" w:rsidRPr="000B68DA" w:rsidTr="000B68DA">
        <w:tc>
          <w:tcPr>
            <w:tcW w:w="3668" w:type="dxa"/>
            <w:gridSpan w:val="3"/>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一、本年新收政府信息公开申请数量</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44</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Calibri" w:hAnsi="Calibri" w:cs="Calibri" w:hint="eastAsia"/>
                <w:color w:val="424242"/>
                <w:sz w:val="24"/>
                <w:szCs w:val="24"/>
              </w:rPr>
              <w:t>1</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45</w:t>
            </w:r>
          </w:p>
        </w:tc>
      </w:tr>
      <w:tr w:rsidR="000B68DA" w:rsidRPr="000B68DA" w:rsidTr="000B68DA">
        <w:tc>
          <w:tcPr>
            <w:tcW w:w="3668" w:type="dxa"/>
            <w:gridSpan w:val="3"/>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二、上年结转政府信息公开申请数量</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782" w:type="dxa"/>
            <w:vMerge w:val="restart"/>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三、本年度办理结果</w:t>
            </w:r>
          </w:p>
        </w:tc>
        <w:tc>
          <w:tcPr>
            <w:tcW w:w="2886"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（一）予以公开</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9</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Calibri" w:hAnsi="Calibri" w:cs="Calibri" w:hint="eastAsia"/>
                <w:color w:val="424242"/>
                <w:sz w:val="24"/>
                <w:szCs w:val="24"/>
              </w:rPr>
              <w:t>9</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2886"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（二）部分公开（区分处理的，只计这一情形，不计其他情形）</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023" w:type="dxa"/>
            <w:vMerge w:val="restart"/>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（三）不予公开</w:t>
            </w: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1.</w:t>
            </w:r>
            <w:r w:rsidRPr="000B68DA">
              <w:rPr>
                <w:rFonts w:ascii="宋体" w:eastAsia="宋体" w:hAnsi="宋体" w:cs="宋体" w:hint="eastAsia"/>
                <w:color w:val="424242"/>
                <w:sz w:val="24"/>
                <w:szCs w:val="24"/>
              </w:rPr>
              <w:t>属于国家秘密</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2.</w:t>
            </w:r>
            <w:r w:rsidRPr="000B68DA">
              <w:rPr>
                <w:rFonts w:ascii="宋体" w:eastAsia="宋体" w:hAnsi="宋体" w:cs="宋体" w:hint="eastAsia"/>
                <w:color w:val="424242"/>
                <w:sz w:val="24"/>
                <w:szCs w:val="24"/>
              </w:rPr>
              <w:t>其他法律行政法规禁止公开</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3.</w:t>
            </w:r>
            <w:r w:rsidRPr="000B68DA">
              <w:rPr>
                <w:rFonts w:ascii="宋体" w:eastAsia="宋体" w:hAnsi="宋体" w:cs="宋体" w:hint="eastAsia"/>
                <w:color w:val="424242"/>
                <w:sz w:val="24"/>
                <w:szCs w:val="24"/>
              </w:rPr>
              <w:t>危及</w:t>
            </w:r>
            <w:r w:rsidRPr="000B68DA">
              <w:rPr>
                <w:rFonts w:ascii="Calibri" w:hAnsi="Calibri" w:cs="Calibri"/>
                <w:color w:val="424242"/>
                <w:sz w:val="24"/>
                <w:szCs w:val="24"/>
              </w:rPr>
              <w:t>“</w:t>
            </w:r>
            <w:r w:rsidRPr="000B68DA">
              <w:rPr>
                <w:rFonts w:ascii="宋体" w:eastAsia="宋体" w:hAnsi="宋体" w:cs="宋体" w:hint="eastAsia"/>
                <w:color w:val="424242"/>
                <w:sz w:val="24"/>
                <w:szCs w:val="24"/>
              </w:rPr>
              <w:t>三安全一稳定</w:t>
            </w:r>
            <w:r w:rsidRPr="000B68DA">
              <w:rPr>
                <w:rFonts w:ascii="Calibri" w:hAnsi="Calibri" w:cs="Calibri"/>
                <w:color w:val="424242"/>
                <w:sz w:val="24"/>
                <w:szCs w:val="24"/>
              </w:rPr>
              <w:t>”</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4.</w:t>
            </w:r>
            <w:r w:rsidRPr="000B68DA">
              <w:rPr>
                <w:rFonts w:ascii="宋体" w:eastAsia="宋体" w:hAnsi="宋体" w:cs="宋体" w:hint="eastAsia"/>
                <w:color w:val="424242"/>
                <w:sz w:val="24"/>
                <w:szCs w:val="24"/>
              </w:rPr>
              <w:t>保护第三方合法权益</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5.</w:t>
            </w:r>
            <w:r w:rsidRPr="000B68DA">
              <w:rPr>
                <w:rFonts w:ascii="宋体" w:eastAsia="宋体" w:hAnsi="宋体" w:cs="宋体" w:hint="eastAsia"/>
                <w:color w:val="424242"/>
                <w:sz w:val="24"/>
                <w:szCs w:val="24"/>
              </w:rPr>
              <w:t>属于三类内部事务信息</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6.</w:t>
            </w:r>
            <w:r w:rsidRPr="000B68DA">
              <w:rPr>
                <w:rFonts w:ascii="宋体" w:eastAsia="宋体" w:hAnsi="宋体" w:cs="宋体" w:hint="eastAsia"/>
                <w:color w:val="424242"/>
                <w:sz w:val="24"/>
                <w:szCs w:val="24"/>
              </w:rPr>
              <w:t>属于四类过程性信息</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7.</w:t>
            </w:r>
            <w:r w:rsidRPr="000B68DA">
              <w:rPr>
                <w:rFonts w:ascii="宋体" w:eastAsia="宋体" w:hAnsi="宋体" w:cs="宋体" w:hint="eastAsia"/>
                <w:color w:val="424242"/>
                <w:sz w:val="24"/>
                <w:szCs w:val="24"/>
              </w:rPr>
              <w:t>属于行政执法案卷</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8.</w:t>
            </w:r>
            <w:r w:rsidRPr="000B68DA">
              <w:rPr>
                <w:rFonts w:ascii="宋体" w:eastAsia="宋体" w:hAnsi="宋体" w:cs="宋体" w:hint="eastAsia"/>
                <w:color w:val="424242"/>
                <w:sz w:val="24"/>
                <w:szCs w:val="24"/>
              </w:rPr>
              <w:t>属于行政查询事项</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023" w:type="dxa"/>
            <w:vMerge w:val="restart"/>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（四）无法提供</w:t>
            </w: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1.</w:t>
            </w:r>
            <w:r w:rsidRPr="000B68DA">
              <w:rPr>
                <w:rFonts w:ascii="宋体" w:eastAsia="宋体" w:hAnsi="宋体" w:cs="宋体" w:hint="eastAsia"/>
                <w:color w:val="424242"/>
                <w:sz w:val="24"/>
                <w:szCs w:val="24"/>
              </w:rPr>
              <w:t>本机关不掌握相关政府信息</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35</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Calibri" w:hAnsi="Calibri" w:cs="Calibri" w:hint="eastAsia"/>
                <w:color w:val="424242"/>
                <w:sz w:val="24"/>
                <w:szCs w:val="24"/>
              </w:rPr>
              <w:t>1</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36</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2.</w:t>
            </w:r>
            <w:r w:rsidRPr="000B68DA">
              <w:rPr>
                <w:rFonts w:ascii="宋体" w:eastAsia="宋体" w:hAnsi="宋体" w:cs="宋体" w:hint="eastAsia"/>
                <w:color w:val="424242"/>
                <w:sz w:val="24"/>
                <w:szCs w:val="24"/>
              </w:rPr>
              <w:t>没有现成信息需要另行制作</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3.</w:t>
            </w:r>
            <w:r w:rsidRPr="000B68DA">
              <w:rPr>
                <w:rFonts w:ascii="宋体" w:eastAsia="宋体" w:hAnsi="宋体" w:cs="宋体" w:hint="eastAsia"/>
                <w:color w:val="424242"/>
                <w:sz w:val="24"/>
                <w:szCs w:val="24"/>
              </w:rPr>
              <w:t>补正后申请内容仍不明确</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023" w:type="dxa"/>
            <w:vMerge w:val="restart"/>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（五）不予处</w:t>
            </w:r>
            <w:r w:rsidRPr="000B68DA">
              <w:rPr>
                <w:rFonts w:ascii="宋体" w:eastAsia="宋体" w:hAnsi="宋体" w:cs="宋体" w:hint="eastAsia"/>
                <w:color w:val="424242"/>
                <w:sz w:val="24"/>
                <w:szCs w:val="24"/>
              </w:rPr>
              <w:lastRenderedPageBreak/>
              <w:t>理</w:t>
            </w: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lastRenderedPageBreak/>
              <w:t>1.</w:t>
            </w:r>
            <w:r w:rsidRPr="000B68DA">
              <w:rPr>
                <w:rFonts w:ascii="宋体" w:eastAsia="宋体" w:hAnsi="宋体" w:cs="宋体" w:hint="eastAsia"/>
                <w:color w:val="424242"/>
                <w:sz w:val="24"/>
                <w:szCs w:val="24"/>
              </w:rPr>
              <w:t>信访举报投诉类申请</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2.</w:t>
            </w:r>
            <w:r w:rsidRPr="000B68DA">
              <w:rPr>
                <w:rFonts w:ascii="宋体" w:eastAsia="宋体" w:hAnsi="宋体" w:cs="宋体" w:hint="eastAsia"/>
                <w:color w:val="424242"/>
                <w:sz w:val="24"/>
                <w:szCs w:val="24"/>
              </w:rPr>
              <w:t>重复申请</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3.</w:t>
            </w:r>
            <w:r w:rsidRPr="000B68DA">
              <w:rPr>
                <w:rFonts w:ascii="宋体" w:eastAsia="宋体" w:hAnsi="宋体" w:cs="宋体" w:hint="eastAsia"/>
                <w:color w:val="424242"/>
                <w:sz w:val="24"/>
                <w:szCs w:val="24"/>
              </w:rPr>
              <w:t>要求提供公开出版物</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4.</w:t>
            </w:r>
            <w:r w:rsidRPr="000B68DA">
              <w:rPr>
                <w:rFonts w:ascii="宋体" w:eastAsia="宋体" w:hAnsi="宋体" w:cs="宋体" w:hint="eastAsia"/>
                <w:color w:val="424242"/>
                <w:sz w:val="24"/>
                <w:szCs w:val="24"/>
              </w:rPr>
              <w:t>无正当理由大量反复申请</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1863"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5.</w:t>
            </w:r>
            <w:r w:rsidRPr="000B68DA">
              <w:rPr>
                <w:rFonts w:ascii="宋体" w:eastAsia="宋体" w:hAnsi="宋体" w:cs="宋体" w:hint="eastAsia"/>
                <w:color w:val="424242"/>
                <w:sz w:val="24"/>
                <w:szCs w:val="24"/>
              </w:rPr>
              <w:t>要求行政机关确认或重新出具已获取信息</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2886"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（六）其他处理</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2886" w:type="dxa"/>
            <w:gridSpan w:val="2"/>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（七）总计</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44</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Calibri" w:hAnsi="Calibri" w:cs="Calibri" w:hint="eastAsia"/>
                <w:color w:val="424242"/>
                <w:sz w:val="24"/>
                <w:szCs w:val="24"/>
              </w:rPr>
              <w:t>1</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Pr>
                <w:rFonts w:ascii="宋体" w:eastAsia="宋体" w:hAnsi="宋体" w:cs="宋体" w:hint="eastAsia"/>
                <w:color w:val="424242"/>
                <w:sz w:val="24"/>
                <w:szCs w:val="24"/>
              </w:rPr>
              <w:t>45</w:t>
            </w:r>
          </w:p>
        </w:tc>
      </w:tr>
      <w:tr w:rsidR="000B68DA" w:rsidRPr="000B68DA" w:rsidTr="000B68DA">
        <w:tc>
          <w:tcPr>
            <w:tcW w:w="3668" w:type="dxa"/>
            <w:gridSpan w:val="3"/>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四、结转下年度继续办理</w:t>
            </w:r>
          </w:p>
        </w:tc>
        <w:tc>
          <w:tcPr>
            <w:tcW w:w="73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91"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79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82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616"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0</w:t>
            </w:r>
          </w:p>
        </w:tc>
      </w:tr>
    </w:tbl>
    <w:p w:rsidR="000B68DA" w:rsidRPr="000B68DA" w:rsidRDefault="000B68DA" w:rsidP="000B68DA">
      <w:pPr>
        <w:shd w:val="clear" w:color="auto" w:fill="FFFFFF"/>
        <w:adjustRightInd/>
        <w:snapToGrid/>
        <w:spacing w:before="100" w:beforeAutospacing="1" w:after="100" w:afterAutospacing="1" w:line="600" w:lineRule="atLeast"/>
        <w:jc w:val="both"/>
        <w:rPr>
          <w:rFonts w:ascii="微软雅黑" w:hAnsi="微软雅黑" w:cs="宋体"/>
          <w:sz w:val="26"/>
          <w:szCs w:val="26"/>
        </w:rPr>
      </w:pPr>
      <w:r w:rsidRPr="000B68DA">
        <w:rPr>
          <w:rFonts w:ascii="黑体" w:eastAsia="黑体" w:hAnsi="黑体" w:cs="宋体" w:hint="eastAsia"/>
          <w:color w:val="424242"/>
          <w:sz w:val="32"/>
          <w:szCs w:val="32"/>
          <w:shd w:val="clear" w:color="auto" w:fill="FFFFFF"/>
        </w:rPr>
        <w:t>四、政府信息公开行政复议、行政诉讼情况</w:t>
      </w:r>
    </w:p>
    <w:tbl>
      <w:tblPr>
        <w:tblW w:w="8670" w:type="dxa"/>
        <w:tblCellMar>
          <w:top w:w="15" w:type="dxa"/>
          <w:left w:w="15" w:type="dxa"/>
          <w:bottom w:w="15" w:type="dxa"/>
          <w:right w:w="15" w:type="dxa"/>
        </w:tblCellMar>
        <w:tblLook w:val="04A0"/>
      </w:tblPr>
      <w:tblGrid>
        <w:gridCol w:w="570"/>
        <w:gridCol w:w="570"/>
        <w:gridCol w:w="570"/>
        <w:gridCol w:w="570"/>
        <w:gridCol w:w="645"/>
        <w:gridCol w:w="540"/>
        <w:gridCol w:w="570"/>
        <w:gridCol w:w="570"/>
        <w:gridCol w:w="570"/>
        <w:gridCol w:w="600"/>
        <w:gridCol w:w="570"/>
        <w:gridCol w:w="570"/>
        <w:gridCol w:w="570"/>
        <w:gridCol w:w="585"/>
        <w:gridCol w:w="600"/>
      </w:tblGrid>
      <w:tr w:rsidR="000B68DA" w:rsidRPr="000B68DA" w:rsidTr="000B68DA">
        <w:tc>
          <w:tcPr>
            <w:tcW w:w="2925" w:type="dxa"/>
            <w:gridSpan w:val="5"/>
            <w:tcBorders>
              <w:top w:val="single" w:sz="6" w:space="0" w:color="000000"/>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行政复议</w:t>
            </w:r>
          </w:p>
        </w:tc>
        <w:tc>
          <w:tcPr>
            <w:tcW w:w="5745" w:type="dxa"/>
            <w:gridSpan w:val="10"/>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行政诉讼</w:t>
            </w:r>
          </w:p>
        </w:tc>
      </w:tr>
      <w:tr w:rsidR="000B68DA" w:rsidRPr="000B68DA" w:rsidTr="000B68DA">
        <w:tc>
          <w:tcPr>
            <w:tcW w:w="570" w:type="dxa"/>
            <w:vMerge w:val="restart"/>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结果维持</w:t>
            </w:r>
          </w:p>
        </w:tc>
        <w:tc>
          <w:tcPr>
            <w:tcW w:w="570" w:type="dxa"/>
            <w:vMerge w:val="restart"/>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结果纠正</w:t>
            </w:r>
          </w:p>
        </w:tc>
        <w:tc>
          <w:tcPr>
            <w:tcW w:w="570" w:type="dxa"/>
            <w:vMerge w:val="restart"/>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其他结果</w:t>
            </w:r>
          </w:p>
        </w:tc>
        <w:tc>
          <w:tcPr>
            <w:tcW w:w="570" w:type="dxa"/>
            <w:vMerge w:val="restart"/>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尚未审结</w:t>
            </w:r>
          </w:p>
        </w:tc>
        <w:tc>
          <w:tcPr>
            <w:tcW w:w="645" w:type="dxa"/>
            <w:vMerge w:val="restart"/>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总计</w:t>
            </w:r>
          </w:p>
        </w:tc>
        <w:tc>
          <w:tcPr>
            <w:tcW w:w="2850" w:type="dxa"/>
            <w:gridSpan w:val="5"/>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未经复议直接起诉</w:t>
            </w:r>
          </w:p>
        </w:tc>
        <w:tc>
          <w:tcPr>
            <w:tcW w:w="2895" w:type="dxa"/>
            <w:gridSpan w:val="5"/>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复议后起诉</w:t>
            </w:r>
          </w:p>
        </w:tc>
      </w:tr>
      <w:tr w:rsidR="000B68DA" w:rsidRPr="000B68DA" w:rsidTr="000B68DA">
        <w:tc>
          <w:tcPr>
            <w:tcW w:w="0" w:type="auto"/>
            <w:vMerge/>
            <w:tcBorders>
              <w:top w:val="nil"/>
              <w:left w:val="single" w:sz="6" w:space="0" w:color="000000"/>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nil"/>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0B68DA" w:rsidRPr="000B68DA" w:rsidRDefault="000B68DA" w:rsidP="000B68DA">
            <w:pPr>
              <w:adjustRightInd/>
              <w:snapToGrid/>
              <w:spacing w:after="0"/>
              <w:rPr>
                <w:rFonts w:ascii="微软雅黑" w:hAnsi="微软雅黑" w:cs="宋体"/>
                <w:sz w:val="24"/>
                <w:szCs w:val="24"/>
              </w:rPr>
            </w:pP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结果维持</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结果纠正</w:t>
            </w:r>
          </w:p>
        </w:tc>
        <w:tc>
          <w:tcPr>
            <w:tcW w:w="57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其他结果</w:t>
            </w:r>
          </w:p>
        </w:tc>
        <w:tc>
          <w:tcPr>
            <w:tcW w:w="57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尚未审结</w:t>
            </w:r>
          </w:p>
        </w:tc>
        <w:tc>
          <w:tcPr>
            <w:tcW w:w="58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总计</w:t>
            </w:r>
          </w:p>
        </w:tc>
        <w:tc>
          <w:tcPr>
            <w:tcW w:w="57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结果维持</w:t>
            </w:r>
          </w:p>
        </w:tc>
        <w:tc>
          <w:tcPr>
            <w:tcW w:w="57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结果纠正</w:t>
            </w:r>
          </w:p>
        </w:tc>
        <w:tc>
          <w:tcPr>
            <w:tcW w:w="570"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其他结果</w:t>
            </w:r>
          </w:p>
        </w:tc>
        <w:tc>
          <w:tcPr>
            <w:tcW w:w="58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尚未审结</w:t>
            </w:r>
          </w:p>
        </w:tc>
        <w:tc>
          <w:tcPr>
            <w:tcW w:w="585" w:type="dxa"/>
            <w:tcBorders>
              <w:top w:val="single" w:sz="6" w:space="0" w:color="000000"/>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宋体" w:eastAsia="宋体" w:hAnsi="宋体" w:cs="宋体" w:hint="eastAsia"/>
                <w:color w:val="424242"/>
                <w:sz w:val="24"/>
                <w:szCs w:val="24"/>
              </w:rPr>
              <w:t>总计</w:t>
            </w:r>
          </w:p>
        </w:tc>
      </w:tr>
      <w:tr w:rsidR="000B68DA" w:rsidRPr="000B68DA" w:rsidTr="000B68DA">
        <w:tc>
          <w:tcPr>
            <w:tcW w:w="570" w:type="dxa"/>
            <w:tcBorders>
              <w:top w:val="nil"/>
              <w:left w:val="single" w:sz="6" w:space="0" w:color="000000"/>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lastRenderedPageBreak/>
              <w:t>0</w:t>
            </w:r>
            <w:r w:rsidRPr="000B68DA">
              <w:rPr>
                <w:rFonts w:ascii="Calibri" w:hAnsi="Calibri" w:cs="Calibri"/>
                <w:color w:val="424242"/>
                <w:sz w:val="24"/>
                <w:szCs w:val="24"/>
              </w:rPr>
              <w:t> </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r w:rsidRPr="000B68DA">
              <w:rPr>
                <w:rFonts w:ascii="Calibri" w:hAnsi="Calibri" w:cs="Calibri"/>
                <w:color w:val="424242"/>
                <w:sz w:val="24"/>
                <w:szCs w:val="24"/>
              </w:rPr>
              <w:t> </w:t>
            </w:r>
          </w:p>
        </w:tc>
        <w:tc>
          <w:tcPr>
            <w:tcW w:w="64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4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r w:rsidRPr="000B68DA">
              <w:rPr>
                <w:rFonts w:ascii="Calibri" w:hAnsi="Calibri" w:cs="Calibri"/>
                <w:color w:val="424242"/>
                <w:sz w:val="24"/>
                <w:szCs w:val="24"/>
              </w:rPr>
              <w:t> </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8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r w:rsidRPr="000B68DA">
              <w:rPr>
                <w:rFonts w:ascii="Calibri" w:hAnsi="Calibri" w:cs="Calibri"/>
                <w:color w:val="424242"/>
                <w:sz w:val="24"/>
                <w:szCs w:val="24"/>
              </w:rPr>
              <w:t> </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70"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0</w:t>
            </w:r>
            <w:r w:rsidRPr="000B68DA">
              <w:rPr>
                <w:rFonts w:ascii="Calibri" w:hAnsi="Calibri" w:cs="Calibri"/>
                <w:color w:val="424242"/>
                <w:sz w:val="24"/>
                <w:szCs w:val="24"/>
              </w:rPr>
              <w:t> </w:t>
            </w:r>
          </w:p>
        </w:tc>
        <w:tc>
          <w:tcPr>
            <w:tcW w:w="58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c>
          <w:tcPr>
            <w:tcW w:w="585" w:type="dxa"/>
            <w:tcBorders>
              <w:top w:val="nil"/>
              <w:left w:val="nil"/>
              <w:bottom w:val="single" w:sz="6" w:space="0" w:color="000000"/>
              <w:right w:val="single" w:sz="6" w:space="0" w:color="000000"/>
            </w:tcBorders>
            <w:shd w:val="clear" w:color="auto" w:fill="F9FBFA"/>
            <w:tcMar>
              <w:top w:w="75" w:type="dxa"/>
              <w:left w:w="150" w:type="dxa"/>
              <w:bottom w:w="75" w:type="dxa"/>
              <w:right w:w="150" w:type="dxa"/>
            </w:tcMar>
            <w:vAlign w:val="center"/>
            <w:hideMark/>
          </w:tcPr>
          <w:p w:rsidR="000B68DA" w:rsidRPr="000B68DA" w:rsidRDefault="000B68DA" w:rsidP="000B68DA">
            <w:pPr>
              <w:adjustRightInd/>
              <w:snapToGrid/>
              <w:spacing w:before="100" w:beforeAutospacing="1" w:after="100" w:afterAutospacing="1" w:line="600" w:lineRule="atLeast"/>
              <w:rPr>
                <w:rFonts w:ascii="微软雅黑" w:hAnsi="微软雅黑" w:cs="宋体"/>
                <w:sz w:val="24"/>
                <w:szCs w:val="24"/>
              </w:rPr>
            </w:pPr>
            <w:r w:rsidRPr="000B68DA">
              <w:rPr>
                <w:rFonts w:ascii="Calibri" w:hAnsi="Calibri" w:cs="Calibri"/>
                <w:color w:val="424242"/>
                <w:sz w:val="24"/>
                <w:szCs w:val="24"/>
              </w:rPr>
              <w:t> </w:t>
            </w:r>
            <w:r w:rsidRPr="000B68DA">
              <w:rPr>
                <w:rFonts w:ascii="Calibri" w:hAnsi="Calibri" w:cs="Calibri"/>
                <w:color w:val="424242"/>
                <w:sz w:val="24"/>
                <w:szCs w:val="24"/>
              </w:rPr>
              <w:t>0</w:t>
            </w:r>
          </w:p>
        </w:tc>
      </w:tr>
    </w:tbl>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黑体" w:eastAsia="黑体" w:hAnsi="黑体" w:cs="宋体" w:hint="eastAsia"/>
          <w:color w:val="424242"/>
          <w:sz w:val="32"/>
          <w:szCs w:val="32"/>
          <w:shd w:val="clear" w:color="auto" w:fill="FFFFFF"/>
        </w:rPr>
        <w:t>五、存在的主要问题及改进情况</w:t>
      </w:r>
    </w:p>
    <w:p w:rsidR="000B68DA" w:rsidRPr="000B68DA" w:rsidRDefault="000B68DA" w:rsidP="000B68DA">
      <w:pPr>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Times New Roman" w:hAnsi="Times New Roman" w:cs="Times New Roman"/>
          <w:color w:val="000000"/>
          <w:sz w:val="32"/>
          <w:szCs w:val="32"/>
          <w:shd w:val="clear" w:color="auto" w:fill="FFFFFF"/>
        </w:rPr>
        <w:t>2020</w:t>
      </w:r>
      <w:r w:rsidRPr="000B68DA">
        <w:rPr>
          <w:rFonts w:ascii="仿宋_GB2312" w:eastAsia="仿宋_GB2312" w:hAnsi="Times New Roman" w:cs="Times New Roman" w:hint="eastAsia"/>
          <w:color w:val="000000"/>
          <w:sz w:val="32"/>
          <w:szCs w:val="32"/>
          <w:shd w:val="clear" w:color="auto" w:fill="FFFFFF"/>
        </w:rPr>
        <w:t>年，市政府办公室政府信息公开工作取得了一定的进步，</w:t>
      </w:r>
      <w:r w:rsidRPr="000B68DA">
        <w:rPr>
          <w:rFonts w:ascii="仿宋_GB2312" w:eastAsia="仿宋_GB2312" w:hAnsi="微软雅黑" w:cs="宋体" w:hint="eastAsia"/>
          <w:sz w:val="32"/>
          <w:szCs w:val="32"/>
        </w:rPr>
        <w:t>但离上级要求和群众的期盼还有差距，主要表现在：体制机制有待进一步厘清，各市直部门和县市区在落实专人做事上力度仍然不够，政府信息公开深度仍有待加强，在推进基层政府政务公开标准化规范化等工作上力度不一，大部分县市区仅限于完成规定动作，在创造性开展上缺少亮点新意。下一年度，我们将严格按照中央、省关于政务公开的决策部署，进一步压紧压实工作责任，不断拓宽拓广公开范围，力争政务公开工作取得新局面，为全市高质量跨越式发展再作贡献。</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黑体" w:eastAsia="黑体" w:hAnsi="黑体" w:cs="宋体" w:hint="eastAsia"/>
          <w:color w:val="424242"/>
          <w:sz w:val="32"/>
          <w:szCs w:val="32"/>
          <w:shd w:val="clear" w:color="auto" w:fill="FFFFFF"/>
        </w:rPr>
        <w:t>六、其他需要报告的事项</w:t>
      </w:r>
    </w:p>
    <w:p w:rsidR="000B68DA" w:rsidRPr="000B68DA" w:rsidRDefault="000B68DA" w:rsidP="000B68DA">
      <w:pPr>
        <w:shd w:val="clear" w:color="auto" w:fill="FFFFFF"/>
        <w:adjustRightInd/>
        <w:snapToGrid/>
        <w:spacing w:before="100" w:beforeAutospacing="1" w:after="100" w:afterAutospacing="1" w:line="600" w:lineRule="atLeast"/>
        <w:ind w:firstLine="645"/>
        <w:jc w:val="both"/>
        <w:rPr>
          <w:rFonts w:ascii="微软雅黑" w:hAnsi="微软雅黑" w:cs="宋体"/>
          <w:sz w:val="26"/>
          <w:szCs w:val="26"/>
        </w:rPr>
      </w:pPr>
      <w:r w:rsidRPr="000B68DA">
        <w:rPr>
          <w:rFonts w:ascii="仿宋_GB2312" w:eastAsia="仿宋_GB2312" w:hAnsi="微软雅黑" w:cs="宋体" w:hint="eastAsia"/>
          <w:color w:val="424242"/>
          <w:sz w:val="32"/>
          <w:szCs w:val="32"/>
          <w:shd w:val="clear" w:color="auto" w:fill="FFFFFF"/>
        </w:rPr>
        <w:t>无</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B40" w:rsidRDefault="00E96B40" w:rsidP="000B68DA">
      <w:pPr>
        <w:spacing w:after="0"/>
      </w:pPr>
      <w:r>
        <w:separator/>
      </w:r>
    </w:p>
  </w:endnote>
  <w:endnote w:type="continuationSeparator" w:id="0">
    <w:p w:rsidR="00E96B40" w:rsidRDefault="00E96B40" w:rsidP="000B68D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roman"/>
    <w:pitch w:val="default"/>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B40" w:rsidRDefault="00E96B40" w:rsidP="000B68DA">
      <w:pPr>
        <w:spacing w:after="0"/>
      </w:pPr>
      <w:r>
        <w:separator/>
      </w:r>
    </w:p>
  </w:footnote>
  <w:footnote w:type="continuationSeparator" w:id="0">
    <w:p w:rsidR="00E96B40" w:rsidRDefault="00E96B40" w:rsidP="000B68D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031B68"/>
    <w:rsid w:val="000B68DA"/>
    <w:rsid w:val="001E3175"/>
    <w:rsid w:val="00323B43"/>
    <w:rsid w:val="00344531"/>
    <w:rsid w:val="003D37D8"/>
    <w:rsid w:val="00426133"/>
    <w:rsid w:val="004358AB"/>
    <w:rsid w:val="00454BE3"/>
    <w:rsid w:val="008B7726"/>
    <w:rsid w:val="00D31D50"/>
    <w:rsid w:val="00E96B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B68D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0B68DA"/>
    <w:rPr>
      <w:rFonts w:ascii="Tahoma" w:hAnsi="Tahoma"/>
      <w:sz w:val="18"/>
      <w:szCs w:val="18"/>
    </w:rPr>
  </w:style>
  <w:style w:type="paragraph" w:styleId="a4">
    <w:name w:val="footer"/>
    <w:basedOn w:val="a"/>
    <w:link w:val="Char0"/>
    <w:uiPriority w:val="99"/>
    <w:semiHidden/>
    <w:unhideWhenUsed/>
    <w:rsid w:val="000B68DA"/>
    <w:pPr>
      <w:tabs>
        <w:tab w:val="center" w:pos="4153"/>
        <w:tab w:val="right" w:pos="8306"/>
      </w:tabs>
    </w:pPr>
    <w:rPr>
      <w:sz w:val="18"/>
      <w:szCs w:val="18"/>
    </w:rPr>
  </w:style>
  <w:style w:type="character" w:customStyle="1" w:styleId="Char0">
    <w:name w:val="页脚 Char"/>
    <w:basedOn w:val="a0"/>
    <w:link w:val="a4"/>
    <w:uiPriority w:val="99"/>
    <w:semiHidden/>
    <w:rsid w:val="000B68DA"/>
    <w:rPr>
      <w:rFonts w:ascii="Tahoma" w:hAnsi="Tahoma"/>
      <w:sz w:val="18"/>
      <w:szCs w:val="18"/>
    </w:rPr>
  </w:style>
  <w:style w:type="paragraph" w:styleId="a5">
    <w:name w:val="Normal (Web)"/>
    <w:basedOn w:val="a"/>
    <w:uiPriority w:val="99"/>
    <w:unhideWhenUsed/>
    <w:rsid w:val="000B68DA"/>
    <w:pPr>
      <w:adjustRightInd/>
      <w:snapToGrid/>
      <w:spacing w:before="100" w:beforeAutospacing="1" w:after="100" w:afterAutospacing="1"/>
    </w:pPr>
    <w:rPr>
      <w:rFonts w:ascii="宋体" w:eastAsia="宋体" w:hAnsi="宋体" w:cs="宋体"/>
      <w:sz w:val="24"/>
      <w:szCs w:val="24"/>
    </w:rPr>
  </w:style>
  <w:style w:type="character" w:styleId="a6">
    <w:name w:val="Strong"/>
    <w:basedOn w:val="a0"/>
    <w:uiPriority w:val="22"/>
    <w:qFormat/>
    <w:rsid w:val="000B68DA"/>
    <w:rPr>
      <w:b/>
      <w:bCs/>
    </w:rPr>
  </w:style>
</w:styles>
</file>

<file path=word/webSettings.xml><?xml version="1.0" encoding="utf-8"?>
<w:webSettings xmlns:r="http://schemas.openxmlformats.org/officeDocument/2006/relationships" xmlns:w="http://schemas.openxmlformats.org/wordprocessingml/2006/main">
  <w:divs>
    <w:div w:id="1227230010">
      <w:bodyDiv w:val="1"/>
      <w:marLeft w:val="0"/>
      <w:marRight w:val="0"/>
      <w:marTop w:val="0"/>
      <w:marBottom w:val="0"/>
      <w:divBdr>
        <w:top w:val="none" w:sz="0" w:space="0" w:color="auto"/>
        <w:left w:val="none" w:sz="0" w:space="0" w:color="auto"/>
        <w:bottom w:val="none" w:sz="0" w:space="0" w:color="auto"/>
        <w:right w:val="none" w:sz="0" w:space="0" w:color="auto"/>
      </w:divBdr>
      <w:divsChild>
        <w:div w:id="895430838">
          <w:marLeft w:val="0"/>
          <w:marRight w:val="0"/>
          <w:marTop w:val="0"/>
          <w:marBottom w:val="0"/>
          <w:divBdr>
            <w:top w:val="none" w:sz="0" w:space="0" w:color="auto"/>
            <w:left w:val="none" w:sz="0" w:space="0" w:color="auto"/>
            <w:bottom w:val="none" w:sz="0" w:space="0" w:color="auto"/>
            <w:right w:val="none" w:sz="0" w:space="0" w:color="auto"/>
          </w:divBdr>
          <w:divsChild>
            <w:div w:id="577637058">
              <w:marLeft w:val="0"/>
              <w:marRight w:val="0"/>
              <w:marTop w:val="0"/>
              <w:marBottom w:val="0"/>
              <w:divBdr>
                <w:top w:val="none" w:sz="0" w:space="0" w:color="auto"/>
                <w:left w:val="none" w:sz="0" w:space="0" w:color="auto"/>
                <w:bottom w:val="none" w:sz="0" w:space="0" w:color="auto"/>
                <w:right w:val="none" w:sz="0" w:space="0" w:color="auto"/>
              </w:divBdr>
              <w:divsChild>
                <w:div w:id="324212838">
                  <w:marLeft w:val="0"/>
                  <w:marRight w:val="0"/>
                  <w:marTop w:val="0"/>
                  <w:marBottom w:val="0"/>
                  <w:divBdr>
                    <w:top w:val="none" w:sz="0" w:space="0" w:color="auto"/>
                    <w:left w:val="none" w:sz="0" w:space="0" w:color="auto"/>
                    <w:bottom w:val="none" w:sz="0" w:space="0" w:color="auto"/>
                    <w:right w:val="none" w:sz="0" w:space="0" w:color="auto"/>
                  </w:divBdr>
                  <w:divsChild>
                    <w:div w:id="1118063979">
                      <w:marLeft w:val="0"/>
                      <w:marRight w:val="0"/>
                      <w:marTop w:val="0"/>
                      <w:marBottom w:val="0"/>
                      <w:divBdr>
                        <w:top w:val="none" w:sz="0" w:space="0" w:color="auto"/>
                        <w:left w:val="none" w:sz="0" w:space="0" w:color="auto"/>
                        <w:bottom w:val="none" w:sz="0" w:space="0" w:color="auto"/>
                        <w:right w:val="none" w:sz="0" w:space="0" w:color="auto"/>
                      </w:divBdr>
                      <w:divsChild>
                        <w:div w:id="1805274739">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462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汪蕊</cp:lastModifiedBy>
  <cp:revision>3</cp:revision>
  <dcterms:created xsi:type="dcterms:W3CDTF">2008-09-11T17:20:00Z</dcterms:created>
  <dcterms:modified xsi:type="dcterms:W3CDTF">2021-04-27T07:47:00Z</dcterms:modified>
</cp:coreProperties>
</file>